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8F14F">
      <w:pPr>
        <w:spacing w:line="500" w:lineRule="exact"/>
        <w:ind w:firstLine="180" w:firstLineChars="50"/>
        <w:jc w:val="center"/>
        <w:rPr>
          <w:rFonts w:hint="default" w:ascii="黑体" w:hAnsi="宋体" w:eastAsia="黑体"/>
          <w:bCs/>
          <w:color w:val="000000" w:themeColor="text1"/>
          <w:sz w:val="36"/>
          <w:szCs w:val="36"/>
          <w:lang w:val="en-US" w:eastAsia="zh-CN"/>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杭州师范大学</w:t>
      </w:r>
      <w:r>
        <w:rPr>
          <w:rFonts w:hint="eastAsia" w:ascii="黑体" w:hAnsi="宋体" w:eastAsia="黑体"/>
          <w:bCs/>
          <w:color w:val="000000" w:themeColor="text1"/>
          <w:sz w:val="36"/>
          <w:szCs w:val="36"/>
          <w:lang w:val="en-US" w:eastAsia="zh-CN"/>
          <w14:textFill>
            <w14:solidFill>
              <w14:schemeClr w14:val="tx1"/>
            </w14:solidFill>
          </w14:textFill>
        </w:rPr>
        <w:t>马克思主义学院</w:t>
      </w:r>
    </w:p>
    <w:p w14:paraId="59FE8929">
      <w:pPr>
        <w:spacing w:line="500" w:lineRule="exact"/>
        <w:ind w:firstLine="180" w:firstLineChars="50"/>
        <w:jc w:val="center"/>
        <w:rPr>
          <w:rFonts w:ascii="黑体" w:hAnsi="宋体" w:eastAsia="黑体"/>
          <w:bCs/>
          <w:color w:val="000000" w:themeColor="text1"/>
          <w:sz w:val="36"/>
          <w:szCs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202</w:t>
      </w:r>
      <w:r>
        <w:rPr>
          <w:rFonts w:hint="eastAsia" w:ascii="黑体" w:hAnsi="宋体" w:eastAsia="黑体"/>
          <w:bCs/>
          <w:color w:val="000000" w:themeColor="text1"/>
          <w:sz w:val="36"/>
          <w:szCs w:val="36"/>
          <w:lang w:val="en-US" w:eastAsia="zh-CN"/>
          <w14:textFill>
            <w14:solidFill>
              <w14:schemeClr w14:val="tx1"/>
            </w14:solidFill>
          </w14:textFill>
        </w:rPr>
        <w:t>6</w:t>
      </w:r>
      <w:r>
        <w:rPr>
          <w:rFonts w:hint="eastAsia" w:ascii="黑体" w:hAnsi="宋体" w:eastAsia="黑体"/>
          <w:bCs/>
          <w:color w:val="000000" w:themeColor="text1"/>
          <w:sz w:val="36"/>
          <w:szCs w:val="36"/>
          <w14:textFill>
            <w14:solidFill>
              <w14:schemeClr w14:val="tx1"/>
            </w14:solidFill>
          </w14:textFill>
        </w:rPr>
        <w:t>年接收推荐免试硕士研究生复试录取办法</w:t>
      </w:r>
    </w:p>
    <w:p w14:paraId="2313BE8A">
      <w:pPr>
        <w:spacing w:before="156" w:beforeLines="50" w:line="360" w:lineRule="auto"/>
        <w:ind w:firstLine="560" w:firstLineChars="200"/>
        <w:rPr>
          <w:color w:val="000000" w:themeColor="text1"/>
          <w:sz w:val="24"/>
          <w:szCs w:val="18"/>
          <w14:textFill>
            <w14:solidFill>
              <w14:schemeClr w14:val="tx1"/>
            </w14:solidFill>
          </w14:textFill>
        </w:rPr>
      </w:pPr>
      <w:r>
        <w:rPr>
          <w:rFonts w:hint="eastAsia"/>
          <w:color w:val="000000" w:themeColor="text1"/>
          <w:sz w:val="28"/>
          <w:szCs w:val="28"/>
          <w14:textFill>
            <w14:solidFill>
              <w14:schemeClr w14:val="tx1"/>
            </w14:solidFill>
          </w14:textFill>
        </w:rPr>
        <w:t>根据上级部门有关研究生招生规定的</w:t>
      </w:r>
      <w:r>
        <w:rPr>
          <w:color w:val="000000" w:themeColor="text1"/>
          <w:sz w:val="28"/>
          <w:szCs w:val="28"/>
          <w14:textFill>
            <w14:solidFill>
              <w14:schemeClr w14:val="tx1"/>
            </w14:solidFill>
          </w14:textFill>
        </w:rPr>
        <w:t>精神，</w:t>
      </w:r>
      <w:r>
        <w:rPr>
          <w:rFonts w:hint="eastAsia"/>
          <w:color w:val="000000" w:themeColor="text1"/>
          <w:sz w:val="28"/>
          <w:szCs w:val="28"/>
          <w14:textFill>
            <w14:solidFill>
              <w14:schemeClr w14:val="tx1"/>
            </w14:solidFill>
          </w14:textFill>
        </w:rPr>
        <w:t>结合我院实际情况，</w:t>
      </w:r>
      <w:r>
        <w:rPr>
          <w:color w:val="000000" w:themeColor="text1"/>
          <w:sz w:val="28"/>
          <w:szCs w:val="28"/>
          <w14:textFill>
            <w14:solidFill>
              <w14:schemeClr w14:val="tx1"/>
            </w14:solidFill>
          </w14:textFill>
        </w:rPr>
        <w:t>现</w:t>
      </w:r>
      <w:r>
        <w:rPr>
          <w:rFonts w:hint="eastAsia"/>
          <w:color w:val="000000" w:themeColor="text1"/>
          <w:sz w:val="28"/>
          <w:szCs w:val="28"/>
          <w14:textFill>
            <w14:solidFill>
              <w14:schemeClr w14:val="tx1"/>
            </w14:solidFill>
          </w14:textFill>
        </w:rPr>
        <w:t>制订</w:t>
      </w:r>
      <w:r>
        <w:rPr>
          <w:color w:val="000000" w:themeColor="text1"/>
          <w:sz w:val="28"/>
          <w:szCs w:val="28"/>
          <w14:textFill>
            <w14:solidFill>
              <w14:schemeClr w14:val="tx1"/>
            </w14:solidFill>
          </w14:textFill>
        </w:rPr>
        <w:t>我</w:t>
      </w:r>
      <w:r>
        <w:rPr>
          <w:rFonts w:hint="eastAsia"/>
          <w:color w:val="000000" w:themeColor="text1"/>
          <w:sz w:val="28"/>
          <w:szCs w:val="28"/>
          <w14:textFill>
            <w14:solidFill>
              <w14:schemeClr w14:val="tx1"/>
            </w14:solidFill>
          </w14:textFill>
        </w:rPr>
        <w:t>院</w:t>
      </w:r>
      <w:r>
        <w:rPr>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6</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接收推荐免试</w:t>
      </w:r>
      <w:r>
        <w:rPr>
          <w:color w:val="000000" w:themeColor="text1"/>
          <w:sz w:val="28"/>
          <w:szCs w:val="28"/>
          <w14:textFill>
            <w14:solidFill>
              <w14:schemeClr w14:val="tx1"/>
            </w14:solidFill>
          </w14:textFill>
        </w:rPr>
        <w:t>硕士研究生复试</w:t>
      </w:r>
      <w:r>
        <w:rPr>
          <w:rFonts w:hint="eastAsia"/>
          <w:color w:val="000000" w:themeColor="text1"/>
          <w:sz w:val="28"/>
          <w:szCs w:val="28"/>
          <w14:textFill>
            <w14:solidFill>
              <w14:schemeClr w14:val="tx1"/>
            </w14:solidFill>
          </w14:textFill>
        </w:rPr>
        <w:t>录取办法如下：</w:t>
      </w:r>
    </w:p>
    <w:p w14:paraId="4BAC159C">
      <w:pPr>
        <w:spacing w:line="360" w:lineRule="auto"/>
        <w:ind w:firstLine="560" w:firstLineChars="200"/>
        <w:rPr>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w:t>
      </w:r>
      <w:r>
        <w:rPr>
          <w:rFonts w:hint="eastAsia"/>
          <w:b/>
          <w:color w:val="000000" w:themeColor="text1"/>
          <w:sz w:val="28"/>
          <w:szCs w:val="28"/>
          <w14:textFill>
            <w14:solidFill>
              <w14:schemeClr w14:val="tx1"/>
            </w14:solidFill>
          </w14:textFill>
        </w:rPr>
        <w:t>复试工作的原则</w:t>
      </w:r>
      <w:bookmarkStart w:id="0" w:name="_GoBack"/>
      <w:bookmarkEnd w:id="0"/>
    </w:p>
    <w:p w14:paraId="6CFB15B1">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坚持科学选拔</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坚持公平公正</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坚持全面考查、突出重点</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坚持客观评价</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坚持以人为本，增强服务意识，提高管理水平。</w:t>
      </w:r>
    </w:p>
    <w:p w14:paraId="2C28F6F7">
      <w:pPr>
        <w:numPr>
          <w:ilvl w:val="0"/>
          <w:numId w:val="1"/>
        </w:numPr>
        <w:spacing w:line="360" w:lineRule="auto"/>
        <w:ind w:firstLine="482" w:firstLineChars="200"/>
        <w:rPr>
          <w:rFonts w:hint="eastAsia"/>
          <w:b/>
          <w:color w:val="000000" w:themeColor="text1"/>
          <w:sz w:val="24"/>
          <w:szCs w:val="18"/>
          <w:lang w:val="en-US" w:eastAsia="zh-CN"/>
          <w14:textFill>
            <w14:solidFill>
              <w14:schemeClr w14:val="tx1"/>
            </w14:solidFill>
          </w14:textFill>
        </w:rPr>
      </w:pPr>
      <w:r>
        <w:rPr>
          <w:rFonts w:hint="eastAsia"/>
          <w:b/>
          <w:color w:val="000000" w:themeColor="text1"/>
          <w:sz w:val="24"/>
          <w:szCs w:val="18"/>
          <w:lang w:val="en-US" w:eastAsia="zh-CN"/>
          <w14:textFill>
            <w14:solidFill>
              <w14:schemeClr w14:val="tx1"/>
            </w14:solidFill>
          </w14:textFill>
        </w:rPr>
        <w:t>报考条件和招生目录</w:t>
      </w:r>
    </w:p>
    <w:p w14:paraId="4FDFE464">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报考条件详见《杭州师范大学202</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年接收推荐免试攻读硕士研究生章程》。</w:t>
      </w:r>
    </w:p>
    <w:tbl>
      <w:tblPr>
        <w:tblStyle w:val="6"/>
        <w:tblW w:w="0" w:type="auto"/>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2411"/>
        <w:gridCol w:w="3418"/>
        <w:gridCol w:w="3386"/>
      </w:tblGrid>
      <w:tr w14:paraId="79C1F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9"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BB3D7F7">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center"/>
              <w:rPr>
                <w:sz w:val="28"/>
                <w:szCs w:val="28"/>
              </w:rPr>
            </w:pPr>
            <w:r>
              <w:rPr>
                <w:rFonts w:hint="default" w:ascii="仿宋_GB2312" w:eastAsia="仿宋_GB2312" w:cs="仿宋_GB2312"/>
                <w:b/>
                <w:bCs/>
                <w:color w:val="000000"/>
                <w:sz w:val="28"/>
                <w:szCs w:val="28"/>
              </w:rPr>
              <w:t>专业代码</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47BDF4">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center"/>
              <w:rPr>
                <w:sz w:val="28"/>
                <w:szCs w:val="28"/>
              </w:rPr>
            </w:pPr>
            <w:r>
              <w:rPr>
                <w:rFonts w:hint="default" w:ascii="仿宋_GB2312" w:eastAsia="仿宋_GB2312" w:cs="仿宋_GB2312"/>
                <w:b/>
                <w:bCs/>
                <w:color w:val="000000"/>
                <w:sz w:val="28"/>
                <w:szCs w:val="28"/>
              </w:rPr>
              <w:t>专业类型</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E699388">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center"/>
              <w:rPr>
                <w:sz w:val="28"/>
                <w:szCs w:val="28"/>
              </w:rPr>
            </w:pPr>
            <w:r>
              <w:rPr>
                <w:rFonts w:hint="default" w:ascii="仿宋_GB2312" w:eastAsia="仿宋_GB2312" w:cs="仿宋_GB2312"/>
                <w:b/>
                <w:bCs/>
                <w:color w:val="000000"/>
                <w:sz w:val="28"/>
                <w:szCs w:val="28"/>
              </w:rPr>
              <w:t>专业名称</w:t>
            </w:r>
          </w:p>
        </w:tc>
      </w:tr>
      <w:tr w14:paraId="063CC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3"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739F1B">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eastAsia="宋体"/>
                <w:sz w:val="28"/>
                <w:szCs w:val="28"/>
                <w:lang w:val="en-US" w:eastAsia="zh-CN"/>
              </w:rPr>
            </w:pPr>
            <w:r>
              <w:rPr>
                <w:rFonts w:hint="eastAsia" w:ascii="仿宋_GB2312" w:eastAsia="仿宋_GB2312" w:cs="仿宋_GB2312"/>
                <w:color w:val="000000"/>
                <w:sz w:val="28"/>
                <w:szCs w:val="28"/>
                <w:lang w:val="en-US" w:eastAsia="zh-CN"/>
              </w:rPr>
              <w:t>030500</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2B42F8">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sz w:val="28"/>
                <w:szCs w:val="28"/>
              </w:rPr>
            </w:pPr>
            <w:r>
              <w:rPr>
                <w:rFonts w:hint="default" w:ascii="仿宋_GB2312" w:eastAsia="仿宋_GB2312" w:cs="仿宋_GB2312"/>
                <w:color w:val="000000"/>
                <w:sz w:val="28"/>
                <w:szCs w:val="28"/>
              </w:rPr>
              <w:t>学术学位</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6FF427E">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马克思主义理论</w:t>
            </w:r>
          </w:p>
        </w:tc>
      </w:tr>
      <w:tr w14:paraId="5A3A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F1D99B">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010101</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4BC8ADF">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640" w:firstLineChars="0"/>
              <w:jc w:val="center"/>
              <w:rPr>
                <w:rFonts w:hint="default" w:ascii="仿宋_GB2312" w:eastAsia="仿宋_GB2312" w:cs="仿宋_GB2312"/>
                <w:color w:val="000000"/>
                <w:sz w:val="28"/>
                <w:szCs w:val="28"/>
              </w:rPr>
            </w:pPr>
            <w:r>
              <w:rPr>
                <w:rFonts w:hint="default" w:ascii="仿宋_GB2312" w:eastAsia="仿宋_GB2312" w:cs="仿宋_GB2312"/>
                <w:color w:val="000000"/>
                <w:sz w:val="28"/>
                <w:szCs w:val="28"/>
              </w:rPr>
              <w:t>学术学位</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7381D42">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马克思主义哲学</w:t>
            </w:r>
          </w:p>
        </w:tc>
      </w:tr>
      <w:tr w14:paraId="24C6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3"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488196">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010102</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937380">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640" w:firstLineChars="0"/>
              <w:jc w:val="center"/>
              <w:rPr>
                <w:rFonts w:hint="default" w:ascii="仿宋_GB2312" w:eastAsia="仿宋_GB2312" w:cs="仿宋_GB2312"/>
                <w:color w:val="000000"/>
                <w:sz w:val="28"/>
                <w:szCs w:val="28"/>
              </w:rPr>
            </w:pPr>
            <w:r>
              <w:rPr>
                <w:rFonts w:hint="default" w:ascii="仿宋_GB2312" w:eastAsia="仿宋_GB2312" w:cs="仿宋_GB2312"/>
                <w:color w:val="000000"/>
                <w:sz w:val="28"/>
                <w:szCs w:val="28"/>
              </w:rPr>
              <w:t>学术学位</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419EFE">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中国哲学</w:t>
            </w:r>
          </w:p>
        </w:tc>
      </w:tr>
      <w:tr w14:paraId="1FE7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B249CBC">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010103</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0B363A">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firstLine="640" w:firstLineChars="0"/>
              <w:jc w:val="center"/>
              <w:rPr>
                <w:rFonts w:hint="default" w:ascii="仿宋_GB2312" w:eastAsia="仿宋_GB2312" w:cs="仿宋_GB2312"/>
                <w:color w:val="000000"/>
                <w:sz w:val="28"/>
                <w:szCs w:val="28"/>
              </w:rPr>
            </w:pPr>
            <w:r>
              <w:rPr>
                <w:rFonts w:hint="default" w:ascii="仿宋_GB2312" w:eastAsia="仿宋_GB2312" w:cs="仿宋_GB2312"/>
                <w:color w:val="000000"/>
                <w:sz w:val="28"/>
                <w:szCs w:val="28"/>
              </w:rPr>
              <w:t>学术学位</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8DC1C4">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外国哲学</w:t>
            </w:r>
          </w:p>
        </w:tc>
      </w:tr>
      <w:tr w14:paraId="6C533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6" w:hRule="atLeast"/>
          <w:tblCellSpacing w:w="0" w:type="dxa"/>
          <w:jc w:val="center"/>
        </w:trPr>
        <w:tc>
          <w:tcPr>
            <w:tcW w:w="24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0305AA84">
            <w:pPr>
              <w:keepNext w:val="0"/>
              <w:keepLines w:val="0"/>
              <w:widowControl/>
              <w:suppressLineNumbers w:val="0"/>
              <w:jc w:val="center"/>
              <w:textAlignment w:val="center"/>
              <w:rPr>
                <w:rFonts w:hint="default" w:ascii="Arial" w:hAnsi="Arial" w:eastAsia="宋体" w:cs="Arial"/>
                <w:i w:val="0"/>
                <w:iCs w:val="0"/>
                <w:color w:val="000000"/>
                <w:kern w:val="2"/>
                <w:sz w:val="28"/>
                <w:szCs w:val="28"/>
                <w:u w:val="none"/>
                <w:lang w:val="en-US" w:eastAsia="zh-CN" w:bidi="ar-SA"/>
              </w:rPr>
            </w:pPr>
            <w:r>
              <w:rPr>
                <w:rFonts w:hint="eastAsia" w:ascii="仿宋_GB2312" w:eastAsia="仿宋_GB2312" w:cs="仿宋_GB2312"/>
                <w:color w:val="000000"/>
                <w:kern w:val="0"/>
                <w:sz w:val="28"/>
                <w:szCs w:val="28"/>
                <w:lang w:val="en-US" w:eastAsia="zh-CN" w:bidi="ar"/>
              </w:rPr>
              <w:t xml:space="preserve">    </w:t>
            </w:r>
            <w:r>
              <w:rPr>
                <w:rFonts w:hint="default" w:ascii="仿宋_GB2312" w:hAnsi="Times New Roman" w:eastAsia="仿宋_GB2312" w:cs="仿宋_GB2312"/>
                <w:color w:val="000000"/>
                <w:kern w:val="0"/>
                <w:sz w:val="28"/>
                <w:szCs w:val="28"/>
                <w:lang w:val="en-US" w:eastAsia="zh-CN" w:bidi="ar"/>
              </w:rPr>
              <w:t>045102</w:t>
            </w:r>
          </w:p>
        </w:tc>
        <w:tc>
          <w:tcPr>
            <w:tcW w:w="3418"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ED693B">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sz w:val="28"/>
                <w:szCs w:val="28"/>
              </w:rPr>
            </w:pPr>
            <w:r>
              <w:rPr>
                <w:rFonts w:hint="default" w:ascii="仿宋_GB2312" w:eastAsia="仿宋_GB2312" w:cs="仿宋_GB2312"/>
                <w:color w:val="000000"/>
                <w:sz w:val="28"/>
                <w:szCs w:val="28"/>
              </w:rPr>
              <w:t>专业学位</w:t>
            </w:r>
          </w:p>
        </w:tc>
        <w:tc>
          <w:tcPr>
            <w:tcW w:w="338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3189C28">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rFonts w:hint="default" w:eastAsia="宋体"/>
                <w:sz w:val="28"/>
                <w:szCs w:val="28"/>
                <w:lang w:val="en-US" w:eastAsia="zh-CN"/>
              </w:rPr>
            </w:pPr>
            <w:r>
              <w:rPr>
                <w:rFonts w:hint="eastAsia" w:ascii="仿宋_GB2312" w:eastAsia="仿宋_GB2312" w:cs="仿宋_GB2312"/>
                <w:color w:val="000000"/>
                <w:sz w:val="28"/>
                <w:szCs w:val="28"/>
                <w:lang w:val="en-US" w:eastAsia="zh-CN"/>
              </w:rPr>
              <w:t>学科教学（思政）</w:t>
            </w:r>
          </w:p>
        </w:tc>
      </w:tr>
    </w:tbl>
    <w:p w14:paraId="45D5613E"/>
    <w:p w14:paraId="669141A9">
      <w:pPr>
        <w:spacing w:line="360" w:lineRule="auto"/>
        <w:ind w:firstLine="562" w:firstLineChars="200"/>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三、申请材料</w:t>
      </w:r>
    </w:p>
    <w:p w14:paraId="624F7076">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1.第二代居民身份证、学生证原件及复印件(身份证复印正反面，学生证复印学生信息和注册情况) 。</w:t>
      </w:r>
    </w:p>
    <w:p w14:paraId="6A9657FD">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2.大学英语六级(或四级)考试证书（小语种的相应水平证书）复印件1份。</w:t>
      </w:r>
    </w:p>
    <w:p w14:paraId="2A4FE987">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3.大学本科成绩单（须加盖教务处公章）、学习期间获得的各类奖励证明材料复印件各1份。</w:t>
      </w:r>
    </w:p>
    <w:p w14:paraId="46796958">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4.在校期间取得的学术科研成果（如公开发表论文、出版物等）、发明专利等相关证明材料复印件各1份。</w:t>
      </w:r>
    </w:p>
    <w:p w14:paraId="2153C11D">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5.个人简历1份。 </w:t>
      </w:r>
    </w:p>
    <w:p w14:paraId="1EBA08CB">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注：考生参加复试时，须提交以上材料，并带上原件以备审验（申请人应保证其所提供的材料真实，一旦发现申请人弄虚作假，即取消其申请资格、录取资格）。</w:t>
      </w:r>
    </w:p>
    <w:p w14:paraId="6E15EF33">
      <w:pPr>
        <w:spacing w:line="360" w:lineRule="auto"/>
        <w:ind w:firstLine="562" w:firstLineChars="200"/>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四、复试时间和地点</w:t>
      </w:r>
    </w:p>
    <w:p w14:paraId="0340E1F9">
      <w:pPr>
        <w:spacing w:before="156" w:beforeLines="50"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我院拟在</w:t>
      </w: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下旬</w:t>
      </w:r>
      <w:r>
        <w:rPr>
          <w:rFonts w:hint="eastAsia"/>
          <w:color w:val="000000" w:themeColor="text1"/>
          <w:sz w:val="28"/>
          <w:szCs w:val="28"/>
          <w14:textFill>
            <w14:solidFill>
              <w14:schemeClr w14:val="tx1"/>
            </w14:solidFill>
          </w14:textFill>
        </w:rPr>
        <w:t>举行，具体时间、地点另行通知（请关注研招网推免服务系统留言</w:t>
      </w:r>
      <w:r>
        <w:rPr>
          <w:rFonts w:hint="eastAsia"/>
          <w:color w:val="000000" w:themeColor="text1"/>
          <w:sz w:val="28"/>
          <w:szCs w:val="28"/>
          <w:lang w:val="en-US" w:eastAsia="zh-CN"/>
          <w14:textFill>
            <w14:solidFill>
              <w14:schemeClr w14:val="tx1"/>
            </w14:solidFill>
          </w14:textFill>
        </w:rPr>
        <w:t>和马克思主义学院官网，</w:t>
      </w:r>
      <w:r>
        <w:rPr>
          <w:rFonts w:hint="eastAsia"/>
          <w:color w:val="000000" w:themeColor="text1"/>
          <w:sz w:val="28"/>
          <w:szCs w:val="28"/>
          <w14:textFill>
            <w14:solidFill>
              <w14:schemeClr w14:val="tx1"/>
            </w14:solidFill>
          </w14:textFill>
        </w:rPr>
        <w:t>并保持手机联系畅通）。</w:t>
      </w:r>
    </w:p>
    <w:p w14:paraId="0C69170F">
      <w:pPr>
        <w:spacing w:line="360" w:lineRule="auto"/>
        <w:ind w:firstLine="562" w:firstLineChars="200"/>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五、复试形式和内容</w:t>
      </w:r>
    </w:p>
    <w:p w14:paraId="319D5551">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（一）复试开始前，申请人向学院提交申请材料，具体要求见上述“三、申请材料”。</w:t>
      </w:r>
    </w:p>
    <w:p w14:paraId="54096253">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（二）采用线下复试形式。</w:t>
      </w:r>
    </w:p>
    <w:p w14:paraId="118D888F">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（三）复试内容包括专业素质和能力、综合素质和能力、外语听说能力和思想品德考核等部分。</w:t>
      </w:r>
    </w:p>
    <w:p w14:paraId="2A28DE58">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复试以综合面试为主，尽可能采用综合性、开放性的能力型试题，题量适中，整个复试时间一般不少于20分钟。报名学科教学（思政）推免的跨学科学生需要加试招生简章规定的2门加试科目，方式为笔试。</w:t>
      </w:r>
    </w:p>
    <w:p w14:paraId="217F9CAC">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（加试科目1：政治学概论；参考书目：马克思主义理论研究和建设工程重点教材：《政治学概论》（第二版），高等教育出版社；</w:t>
      </w:r>
    </w:p>
    <w:p w14:paraId="1FB8F735">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加试科目2：马克思主义哲学；参考书目：马克思主义理论研究和建设工程重点教材：《马克思主义哲学》（第二版），高等教育出版社）</w:t>
      </w:r>
    </w:p>
    <w:p w14:paraId="4E5D7B9D">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（四）复试结束后，拟录取申请人按照学院要求在规定时间内登陆“推免服务系统”，接收确认“待录取”通知，否则视为放弃拟录取资格。</w:t>
      </w:r>
    </w:p>
    <w:p w14:paraId="2A3421D4">
      <w:pPr>
        <w:spacing w:line="360" w:lineRule="auto"/>
        <w:ind w:firstLine="562" w:firstLineChars="200"/>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六、复试成绩的计算</w:t>
      </w:r>
    </w:p>
    <w:p w14:paraId="514774CD">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1.专业素质和能力测试成绩（占录取总成绩50%）；</w:t>
      </w:r>
    </w:p>
    <w:p w14:paraId="0CC09480">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2.综合素质和能力测试成绩（占录取总成绩40%）；</w:t>
      </w:r>
    </w:p>
    <w:p w14:paraId="6CD68285">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3．外语听力口语测试成绩（占录取总成绩10%）。</w:t>
      </w:r>
    </w:p>
    <w:p w14:paraId="1BFD9B4D">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复试成绩低于 60 分（未达到满分的 60%）即为复试不合格，思想品德考核不合格、复试不合格、加试不合格者不予录取。</w:t>
      </w:r>
    </w:p>
    <w:p w14:paraId="52723623">
      <w:pPr>
        <w:spacing w:line="360" w:lineRule="auto"/>
        <w:ind w:firstLine="562" w:firstLineChars="200"/>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七、复试的监督</w:t>
      </w:r>
    </w:p>
    <w:p w14:paraId="309A7447">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1．学校研究生招生工作领导小组对复试过程的公平、公正和复试结果全面监督、负责。</w:t>
      </w:r>
    </w:p>
    <w:p w14:paraId="0247F09F">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2．纪检、监察部门对复试工作进行全面、有效监督，对复试现场进行巡视。监督举报邮箱：hyy931@163.com  电话：0571-28865605。</w:t>
      </w:r>
    </w:p>
    <w:p w14:paraId="30C58933">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3．实行信息公开制度。经我校研究生招生工作领导小组讨论确定后的拟录取名单应在学校研究生院网站公示10个工作日。</w:t>
      </w:r>
    </w:p>
    <w:p w14:paraId="5167E2DF">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4．实行复议制度。学校在规定时间内受理考生申诉。</w:t>
      </w:r>
    </w:p>
    <w:p w14:paraId="6032F8EA">
      <w:pPr>
        <w:spacing w:before="156" w:beforeLines="50" w:line="360" w:lineRule="auto"/>
        <w:ind w:firstLine="560" w:firstLineChars="200"/>
        <w:rPr>
          <w:rFonts w:hint="eastAsia"/>
          <w:color w:val="000000" w:themeColor="text1"/>
          <w:sz w:val="28"/>
          <w:szCs w:val="28"/>
          <w:lang w:val="en-US" w:eastAsia="zh-CN"/>
          <w14:textFill>
            <w14:solidFill>
              <w14:schemeClr w14:val="tx1"/>
            </w14:solidFill>
          </w14:textFill>
        </w:rPr>
      </w:pPr>
    </w:p>
    <w:p w14:paraId="3B5A4C63">
      <w:pPr>
        <w:spacing w:before="156" w:beforeLines="50" w:line="360" w:lineRule="auto"/>
        <w:ind w:firstLine="5600" w:firstLineChars="20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杭州师范大学马克思主义学院</w:t>
      </w:r>
    </w:p>
    <w:p w14:paraId="1B5E875E">
      <w:pPr>
        <w:spacing w:before="156" w:beforeLines="50" w:line="360" w:lineRule="auto"/>
        <w:ind w:firstLine="6440" w:firstLineChars="23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2025年9月15日</w:t>
      </w:r>
    </w:p>
    <w:p w14:paraId="718A7EA3">
      <w:pPr>
        <w:tabs>
          <w:tab w:val="left" w:pos="1125"/>
        </w:tabs>
        <w:spacing w:line="360" w:lineRule="auto"/>
        <w:ind w:firstLine="720" w:firstLineChars="300"/>
        <w:rPr>
          <w:rFonts w:hint="eastAsia"/>
          <w:color w:val="000000" w:themeColor="text1"/>
          <w:sz w:val="24"/>
          <w:szCs w:val="18"/>
          <w14:textFill>
            <w14:solidFill>
              <w14:schemeClr w14:val="tx1"/>
            </w14:solidFill>
          </w14:textFill>
        </w:rPr>
      </w:pPr>
    </w:p>
    <w:p w14:paraId="02E55906">
      <w:pPr>
        <w:tabs>
          <w:tab w:val="left" w:pos="1125"/>
        </w:tabs>
        <w:spacing w:line="360" w:lineRule="auto"/>
        <w:ind w:firstLine="720" w:firstLineChars="300"/>
        <w:rPr>
          <w:rFonts w:hint="eastAsia"/>
          <w:color w:val="000000" w:themeColor="text1"/>
          <w:sz w:val="24"/>
          <w:szCs w:val="18"/>
          <w14:textFill>
            <w14:solidFill>
              <w14:schemeClr w14:val="tx1"/>
            </w14:solidFill>
          </w14:textFill>
        </w:rPr>
      </w:pPr>
    </w:p>
    <w:sectPr>
      <w:pgSz w:w="11906" w:h="16838"/>
      <w:pgMar w:top="1134" w:right="1134" w:bottom="113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BFA3DF-58EE-4632-911C-3CE9ECE2BE10}"/>
  </w:font>
  <w:font w:name="黑体">
    <w:panose1 w:val="02010609060101010101"/>
    <w:charset w:val="86"/>
    <w:family w:val="auto"/>
    <w:pitch w:val="default"/>
    <w:sig w:usb0="800002BF" w:usb1="38CF7CFA" w:usb2="00000016" w:usb3="00000000" w:csb0="00040001" w:csb1="00000000"/>
    <w:embedRegular r:id="rId2" w:fontKey="{8FCF8C24-B1AF-4A90-ABDE-EFFAD8B9F9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3" w:fontKey="{23BC96DF-5262-4173-82D8-17D958BB2F5B}"/>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99375"/>
    <w:multiLevelType w:val="singleLevel"/>
    <w:tmpl w:val="D4C993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47"/>
    <w:rsid w:val="000C302B"/>
    <w:rsid w:val="000E67E3"/>
    <w:rsid w:val="00164877"/>
    <w:rsid w:val="00245D24"/>
    <w:rsid w:val="00251073"/>
    <w:rsid w:val="002C1121"/>
    <w:rsid w:val="002F25DC"/>
    <w:rsid w:val="002F4A38"/>
    <w:rsid w:val="002F5394"/>
    <w:rsid w:val="00337026"/>
    <w:rsid w:val="003868B7"/>
    <w:rsid w:val="003C400D"/>
    <w:rsid w:val="00476A59"/>
    <w:rsid w:val="00480101"/>
    <w:rsid w:val="00556551"/>
    <w:rsid w:val="00594462"/>
    <w:rsid w:val="00626C45"/>
    <w:rsid w:val="00652648"/>
    <w:rsid w:val="00657227"/>
    <w:rsid w:val="006D7351"/>
    <w:rsid w:val="006F5972"/>
    <w:rsid w:val="00756EDA"/>
    <w:rsid w:val="00766C75"/>
    <w:rsid w:val="007E26CF"/>
    <w:rsid w:val="008C6A2E"/>
    <w:rsid w:val="008E4AB4"/>
    <w:rsid w:val="00935476"/>
    <w:rsid w:val="0094259A"/>
    <w:rsid w:val="00A12D08"/>
    <w:rsid w:val="00A45B59"/>
    <w:rsid w:val="00A708F9"/>
    <w:rsid w:val="00A97D39"/>
    <w:rsid w:val="00AC1E4F"/>
    <w:rsid w:val="00AD4A47"/>
    <w:rsid w:val="00B11D1F"/>
    <w:rsid w:val="00B17B8C"/>
    <w:rsid w:val="00BA2643"/>
    <w:rsid w:val="00BB042C"/>
    <w:rsid w:val="00C01318"/>
    <w:rsid w:val="00C316CA"/>
    <w:rsid w:val="00C41352"/>
    <w:rsid w:val="00C641FA"/>
    <w:rsid w:val="00D2656B"/>
    <w:rsid w:val="00D90479"/>
    <w:rsid w:val="00D94A43"/>
    <w:rsid w:val="00DB528F"/>
    <w:rsid w:val="00E9718E"/>
    <w:rsid w:val="00EF120E"/>
    <w:rsid w:val="00F23637"/>
    <w:rsid w:val="00F84C53"/>
    <w:rsid w:val="00FF0DC6"/>
    <w:rsid w:val="12FD1BFF"/>
    <w:rsid w:val="185E3459"/>
    <w:rsid w:val="195D6765"/>
    <w:rsid w:val="20540D4D"/>
    <w:rsid w:val="2A7F1496"/>
    <w:rsid w:val="2C123710"/>
    <w:rsid w:val="2CEC7386"/>
    <w:rsid w:val="35134F1E"/>
    <w:rsid w:val="363650FE"/>
    <w:rsid w:val="39F07CBA"/>
    <w:rsid w:val="3AA52853"/>
    <w:rsid w:val="4BCA2B3C"/>
    <w:rsid w:val="4F9D7B44"/>
    <w:rsid w:val="52C16EED"/>
    <w:rsid w:val="5878410F"/>
    <w:rsid w:val="59B93AC8"/>
    <w:rsid w:val="6C632D8C"/>
    <w:rsid w:val="77275DC2"/>
    <w:rsid w:val="7DB67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1268</Words>
  <Characters>1349</Characters>
  <Lines>7</Lines>
  <Paragraphs>2</Paragraphs>
  <TotalTime>10</TotalTime>
  <ScaleCrop>false</ScaleCrop>
  <LinksUpToDate>false</LinksUpToDate>
  <CharactersWithSpaces>1360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2024-09-27T12:01:00Z</dcterms:created>
  <dc:creator>ZHANG</dc:creator>
  <cp:lastModifiedBy>迪妈</cp:lastModifiedBy>
  <dcterms:modified xsi:type="dcterms:W3CDTF">2025-09-15T04:47:25Z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eyJoZGlkIjoiZGYyYTVjZDYyMDg0N2UwZDU4NDMzMzQyYzUyYzNlZjIiLCJ1c2VySWQiOiIyMTIzMjczMTYifQ==</vt:lpwstr>
  </property>
  <property fmtid="{D5CDD505-2E9C-101B-9397-08002B2CF9AE}" pid="3" name="KSOProductBuildVer">
    <vt:lpwstr>2052-12.1.0.22529</vt:lpwstr>
  </property>
  <property fmtid="{D5CDD505-2E9C-101B-9397-08002B2CF9AE}" pid="4" name="ICV">
    <vt:lpwstr>F332C5EB8D654DD091FDED85A200A63B_12</vt:lpwstr>
  </property>
</Properties>
</file>